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000" w:rsidRPr="00831E5C" w:rsidRDefault="00852F4C">
      <w:pPr>
        <w:pStyle w:val="20"/>
        <w:framePr w:w="8867" w:h="464" w:hRule="exact" w:wrap="none" w:vAnchor="page" w:hAnchor="page" w:x="1520" w:y="1939"/>
        <w:shd w:val="clear" w:color="auto" w:fill="auto"/>
        <w:spacing w:line="200" w:lineRule="exact"/>
        <w:ind w:right="120"/>
        <w:rPr>
          <w:sz w:val="24"/>
          <w:szCs w:val="24"/>
        </w:rPr>
      </w:pPr>
      <w:bookmarkStart w:id="0" w:name="_GoBack"/>
      <w:r w:rsidRPr="00831E5C">
        <w:rPr>
          <w:rStyle w:val="22pt"/>
          <w:sz w:val="24"/>
          <w:szCs w:val="24"/>
        </w:rPr>
        <w:t>§3</w:t>
      </w:r>
    </w:p>
    <w:p w:rsidR="00593000" w:rsidRPr="00831E5C" w:rsidRDefault="00852F4C">
      <w:pPr>
        <w:pStyle w:val="30"/>
        <w:framePr w:w="8867" w:h="464" w:hRule="exact" w:wrap="none" w:vAnchor="page" w:hAnchor="page" w:x="1520" w:y="1939"/>
        <w:shd w:val="clear" w:color="auto" w:fill="auto"/>
        <w:spacing w:after="0" w:line="170" w:lineRule="exact"/>
        <w:ind w:left="3380"/>
        <w:rPr>
          <w:sz w:val="24"/>
          <w:szCs w:val="24"/>
        </w:rPr>
      </w:pPr>
      <w:r w:rsidRPr="00831E5C">
        <w:rPr>
          <w:sz w:val="24"/>
          <w:szCs w:val="24"/>
        </w:rPr>
        <w:t>Betriebsvoraussetzungen</w:t>
      </w:r>
    </w:p>
    <w:p w:rsidR="00593000" w:rsidRPr="00831E5C" w:rsidRDefault="00852F4C">
      <w:pPr>
        <w:pStyle w:val="a0"/>
        <w:framePr w:w="8867" w:h="5189" w:hRule="exact" w:wrap="none" w:vAnchor="page" w:hAnchor="page" w:x="1520" w:y="2578"/>
        <w:numPr>
          <w:ilvl w:val="0"/>
          <w:numId w:val="1"/>
        </w:numPr>
        <w:shd w:val="clear" w:color="auto" w:fill="auto"/>
        <w:tabs>
          <w:tab w:val="left" w:pos="286"/>
        </w:tabs>
        <w:spacing w:before="0"/>
        <w:ind w:left="300" w:right="20"/>
        <w:rPr>
          <w:sz w:val="24"/>
          <w:szCs w:val="24"/>
        </w:rPr>
      </w:pPr>
      <w:r w:rsidRPr="00831E5C">
        <w:rPr>
          <w:sz w:val="24"/>
          <w:szCs w:val="24"/>
        </w:rPr>
        <w:t xml:space="preserve">Der Vermieter übernimmt darüber hinaus keine Gewähr dafür, dass die Mietsache den für den jeweiligen Nutzungszweck in Frage kommenden allgemeinen technischen Anforderungen sowie den behördlichen und anderen Vorschriften </w:t>
      </w:r>
      <w:r w:rsidRPr="00831E5C">
        <w:rPr>
          <w:sz w:val="24"/>
          <w:szCs w:val="24"/>
        </w:rPr>
        <w:t>entspricht.</w:t>
      </w:r>
    </w:p>
    <w:p w:rsidR="00593000" w:rsidRPr="00831E5C" w:rsidRDefault="00852F4C">
      <w:pPr>
        <w:pStyle w:val="a0"/>
        <w:framePr w:w="8867" w:h="5189" w:hRule="exact" w:wrap="none" w:vAnchor="page" w:hAnchor="page" w:x="1520" w:y="2578"/>
        <w:numPr>
          <w:ilvl w:val="0"/>
          <w:numId w:val="1"/>
        </w:numPr>
        <w:shd w:val="clear" w:color="auto" w:fill="auto"/>
        <w:tabs>
          <w:tab w:val="left" w:pos="294"/>
        </w:tabs>
        <w:spacing w:before="0" w:after="183"/>
        <w:ind w:left="300" w:right="20"/>
        <w:rPr>
          <w:sz w:val="24"/>
          <w:szCs w:val="24"/>
        </w:rPr>
      </w:pPr>
      <w:r w:rsidRPr="00831E5C">
        <w:rPr>
          <w:sz w:val="24"/>
          <w:szCs w:val="24"/>
        </w:rPr>
        <w:t>Soweit für die vertraglich vereinbarte Nutzung behördliche oder sonstige Genehmigungen oder Gestattungen, gleich welcher Art, erforderlich sein sollten, ist dies allein Sache des Mieters, diese rechtzeitig auf seine Kosten zu beantragen, zu erw</w:t>
      </w:r>
      <w:r w:rsidRPr="00831E5C">
        <w:rPr>
          <w:sz w:val="24"/>
          <w:szCs w:val="24"/>
        </w:rPr>
        <w:t>irken und aufrecht zu erhalten.</w:t>
      </w:r>
    </w:p>
    <w:p w:rsidR="00593000" w:rsidRPr="00831E5C" w:rsidRDefault="00852F4C">
      <w:pPr>
        <w:pStyle w:val="a0"/>
        <w:framePr w:w="8867" w:h="5189" w:hRule="exact" w:wrap="none" w:vAnchor="page" w:hAnchor="page" w:x="1520" w:y="2578"/>
        <w:numPr>
          <w:ilvl w:val="0"/>
          <w:numId w:val="1"/>
        </w:numPr>
        <w:shd w:val="clear" w:color="auto" w:fill="auto"/>
        <w:tabs>
          <w:tab w:val="left" w:pos="297"/>
        </w:tabs>
        <w:spacing w:before="0" w:after="177" w:line="220" w:lineRule="exact"/>
        <w:ind w:left="300" w:right="20"/>
        <w:rPr>
          <w:sz w:val="24"/>
          <w:szCs w:val="24"/>
        </w:rPr>
      </w:pPr>
      <w:r w:rsidRPr="00831E5C">
        <w:rPr>
          <w:sz w:val="24"/>
          <w:szCs w:val="24"/>
        </w:rPr>
        <w:t>Etwaige behördliche Auflagen, die durch den jeweiligen Nutzungszweck bedingt sind, wird der Mieter auf eigene Kosten erfüllen. Der Mieter sagt auch dem Vermieter zu, für die Erfüllung baurechtlicher, gewerberechtlicher und s</w:t>
      </w:r>
      <w:r w:rsidRPr="00831E5C">
        <w:rPr>
          <w:sz w:val="24"/>
          <w:szCs w:val="24"/>
        </w:rPr>
        <w:t>onstiger gesetzlicher und/oder behördlicher Bestimmungen einzustehen, die mit der vertraglich vereinbarten Nutzung in Zusammenhang stehen.</w:t>
      </w:r>
    </w:p>
    <w:p w:rsidR="00593000" w:rsidRPr="00831E5C" w:rsidRDefault="00852F4C">
      <w:pPr>
        <w:pStyle w:val="a0"/>
        <w:framePr w:w="8867" w:h="5189" w:hRule="exact" w:wrap="none" w:vAnchor="page" w:hAnchor="page" w:x="1520" w:y="2578"/>
        <w:numPr>
          <w:ilvl w:val="0"/>
          <w:numId w:val="1"/>
        </w:numPr>
        <w:shd w:val="clear" w:color="auto" w:fill="auto"/>
        <w:tabs>
          <w:tab w:val="left" w:pos="301"/>
        </w:tabs>
        <w:spacing w:before="0" w:after="183"/>
        <w:ind w:left="300" w:right="20"/>
        <w:rPr>
          <w:sz w:val="24"/>
          <w:szCs w:val="24"/>
        </w:rPr>
      </w:pPr>
      <w:r w:rsidRPr="00831E5C">
        <w:rPr>
          <w:sz w:val="24"/>
          <w:szCs w:val="24"/>
        </w:rPr>
        <w:t xml:space="preserve">Der Mieter sichert gegenüber dem Vermieter die genaue Einhaltung aller behördlichen und sonstigen Vorschriften zu, </w:t>
      </w:r>
      <w:r w:rsidRPr="00831E5C">
        <w:rPr>
          <w:sz w:val="24"/>
          <w:szCs w:val="24"/>
        </w:rPr>
        <w:t>die mit dem Geschäftsbetrieb der Mieterin Zusammenhängen.</w:t>
      </w:r>
    </w:p>
    <w:p w:rsidR="00593000" w:rsidRPr="00831E5C" w:rsidRDefault="00852F4C">
      <w:pPr>
        <w:pStyle w:val="a0"/>
        <w:framePr w:w="8867" w:h="5189" w:hRule="exact" w:wrap="none" w:vAnchor="page" w:hAnchor="page" w:x="1520" w:y="2578"/>
        <w:numPr>
          <w:ilvl w:val="0"/>
          <w:numId w:val="1"/>
        </w:numPr>
        <w:shd w:val="clear" w:color="auto" w:fill="auto"/>
        <w:tabs>
          <w:tab w:val="left" w:pos="297"/>
        </w:tabs>
        <w:spacing w:before="0" w:after="183" w:line="220" w:lineRule="exact"/>
        <w:ind w:left="300" w:right="20"/>
        <w:rPr>
          <w:sz w:val="24"/>
          <w:szCs w:val="24"/>
        </w:rPr>
      </w:pPr>
      <w:r w:rsidRPr="00831E5C">
        <w:rPr>
          <w:sz w:val="24"/>
          <w:szCs w:val="24"/>
        </w:rPr>
        <w:t>Dem Mieter ist es gestattet, die für seine Tätigkeit erforderlichen Zusatzeinrichtungen bzw. Sonderausstattungen auf eigene Kosten nach vorheriger schriftlicher Zustimmung des Vermieters einzurichte</w:t>
      </w:r>
      <w:r w:rsidRPr="00831E5C">
        <w:rPr>
          <w:sz w:val="24"/>
          <w:szCs w:val="24"/>
        </w:rPr>
        <w:t>n. Zieht der Mieter wieder aus, gibt es hierfür keine Gegenleistung vom Vermieter für die Installation, sofern dies nicht ausdrücklich vereinbart wurde.</w:t>
      </w:r>
    </w:p>
    <w:p w:rsidR="00593000" w:rsidRPr="00831E5C" w:rsidRDefault="00852F4C">
      <w:pPr>
        <w:pStyle w:val="a0"/>
        <w:framePr w:w="8867" w:h="5189" w:hRule="exact" w:wrap="none" w:vAnchor="page" w:hAnchor="page" w:x="1520" w:y="2578"/>
        <w:numPr>
          <w:ilvl w:val="0"/>
          <w:numId w:val="1"/>
        </w:numPr>
        <w:shd w:val="clear" w:color="auto" w:fill="auto"/>
        <w:tabs>
          <w:tab w:val="left" w:pos="297"/>
        </w:tabs>
        <w:spacing w:before="0" w:after="0" w:line="216" w:lineRule="exact"/>
        <w:ind w:left="300" w:right="20"/>
        <w:rPr>
          <w:sz w:val="24"/>
          <w:szCs w:val="24"/>
        </w:rPr>
      </w:pPr>
      <w:r w:rsidRPr="00831E5C">
        <w:rPr>
          <w:sz w:val="24"/>
          <w:szCs w:val="24"/>
        </w:rPr>
        <w:t xml:space="preserve">Dem Mieter ist es nach vorheriger schriftlicher Zustimmung des Vermieters gestattet, die Mietsache auf </w:t>
      </w:r>
      <w:r w:rsidRPr="00831E5C">
        <w:rPr>
          <w:sz w:val="24"/>
          <w:szCs w:val="24"/>
        </w:rPr>
        <w:t>eigene Kosten sicherheitstechnisch aufzurüsten.</w:t>
      </w:r>
    </w:p>
    <w:p w:rsidR="00593000" w:rsidRPr="00831E5C" w:rsidRDefault="00852F4C">
      <w:pPr>
        <w:pStyle w:val="20"/>
        <w:framePr w:w="8867" w:h="7147" w:hRule="exact" w:wrap="none" w:vAnchor="page" w:hAnchor="page" w:x="1520" w:y="8194"/>
        <w:shd w:val="clear" w:color="auto" w:fill="auto"/>
        <w:spacing w:line="200" w:lineRule="exact"/>
        <w:ind w:right="120"/>
        <w:rPr>
          <w:sz w:val="24"/>
          <w:szCs w:val="24"/>
        </w:rPr>
      </w:pPr>
      <w:r w:rsidRPr="00831E5C">
        <w:rPr>
          <w:rStyle w:val="22pt"/>
          <w:sz w:val="24"/>
          <w:szCs w:val="24"/>
        </w:rPr>
        <w:t>§4</w:t>
      </w:r>
    </w:p>
    <w:p w:rsidR="00593000" w:rsidRPr="00831E5C" w:rsidRDefault="00852F4C">
      <w:pPr>
        <w:pStyle w:val="30"/>
        <w:framePr w:w="8867" w:h="7147" w:hRule="exact" w:wrap="none" w:vAnchor="page" w:hAnchor="page" w:x="1520" w:y="8194"/>
        <w:shd w:val="clear" w:color="auto" w:fill="auto"/>
        <w:spacing w:after="120" w:line="170" w:lineRule="exact"/>
        <w:ind w:right="120"/>
        <w:jc w:val="center"/>
        <w:rPr>
          <w:sz w:val="24"/>
          <w:szCs w:val="24"/>
        </w:rPr>
      </w:pPr>
      <w:r w:rsidRPr="00831E5C">
        <w:rPr>
          <w:sz w:val="24"/>
          <w:szCs w:val="24"/>
        </w:rPr>
        <w:t>Mietdauer</w:t>
      </w:r>
    </w:p>
    <w:p w:rsidR="00593000" w:rsidRPr="00831E5C" w:rsidRDefault="00852F4C">
      <w:pPr>
        <w:pStyle w:val="a0"/>
        <w:framePr w:w="8867" w:h="7147" w:hRule="exact" w:wrap="none" w:vAnchor="page" w:hAnchor="page" w:x="1520" w:y="8194"/>
        <w:numPr>
          <w:ilvl w:val="0"/>
          <w:numId w:val="2"/>
        </w:numPr>
        <w:shd w:val="clear" w:color="auto" w:fill="auto"/>
        <w:tabs>
          <w:tab w:val="left" w:pos="279"/>
        </w:tabs>
        <w:spacing w:before="0" w:after="0" w:line="227" w:lineRule="exact"/>
        <w:ind w:left="300"/>
        <w:rPr>
          <w:sz w:val="24"/>
          <w:szCs w:val="24"/>
        </w:rPr>
      </w:pPr>
      <w:r w:rsidRPr="00831E5C">
        <w:rPr>
          <w:sz w:val="24"/>
          <w:szCs w:val="24"/>
        </w:rPr>
        <w:t>Das Mietverhältnis beginnt wie folgt:</w:t>
      </w:r>
    </w:p>
    <w:p w:rsidR="00593000" w:rsidRPr="00831E5C" w:rsidRDefault="00852F4C">
      <w:pPr>
        <w:pStyle w:val="10"/>
        <w:framePr w:w="8867" w:h="7147" w:hRule="exact" w:wrap="none" w:vAnchor="page" w:hAnchor="page" w:x="1520" w:y="8194"/>
        <w:shd w:val="clear" w:color="auto" w:fill="auto"/>
        <w:ind w:right="120"/>
        <w:rPr>
          <w:sz w:val="24"/>
          <w:szCs w:val="24"/>
        </w:rPr>
      </w:pPr>
      <w:bookmarkStart w:id="1" w:name="bookmark0"/>
      <w:r w:rsidRPr="00831E5C">
        <w:rPr>
          <w:sz w:val="24"/>
          <w:szCs w:val="24"/>
        </w:rPr>
        <w:t>c*./fc / '</w:t>
      </w:r>
      <w:bookmarkEnd w:id="1"/>
    </w:p>
    <w:p w:rsidR="00593000" w:rsidRPr="00831E5C" w:rsidRDefault="00852F4C">
      <w:pPr>
        <w:pStyle w:val="20"/>
        <w:framePr w:w="8867" w:h="7147" w:hRule="exact" w:wrap="none" w:vAnchor="page" w:hAnchor="page" w:x="1520" w:y="8194"/>
        <w:shd w:val="clear" w:color="auto" w:fill="auto"/>
        <w:spacing w:after="218" w:line="227" w:lineRule="exact"/>
        <w:ind w:left="3380"/>
        <w:jc w:val="left"/>
        <w:rPr>
          <w:sz w:val="24"/>
          <w:szCs w:val="24"/>
        </w:rPr>
      </w:pPr>
      <w:r w:rsidRPr="00831E5C">
        <w:rPr>
          <w:sz w:val="24"/>
          <w:szCs w:val="24"/>
        </w:rPr>
        <w:t>01J»f.2015</w:t>
      </w:r>
    </w:p>
    <w:p w:rsidR="00593000" w:rsidRPr="00831E5C" w:rsidRDefault="00852F4C">
      <w:pPr>
        <w:pStyle w:val="a0"/>
        <w:framePr w:w="8867" w:h="7147" w:hRule="exact" w:wrap="none" w:vAnchor="page" w:hAnchor="page" w:x="1520" w:y="8194"/>
        <w:shd w:val="clear" w:color="auto" w:fill="auto"/>
        <w:spacing w:before="0" w:after="137" w:line="180" w:lineRule="exact"/>
        <w:ind w:left="300" w:firstLine="0"/>
        <w:rPr>
          <w:sz w:val="24"/>
          <w:szCs w:val="24"/>
        </w:rPr>
      </w:pPr>
      <w:r w:rsidRPr="00831E5C">
        <w:rPr>
          <w:sz w:val="24"/>
          <w:szCs w:val="24"/>
        </w:rPr>
        <w:t>und wird befristet mit einer Festmietzeit bis zum 31.12.2019 abgeschlossen.</w:t>
      </w:r>
    </w:p>
    <w:p w:rsidR="00593000" w:rsidRPr="00831E5C" w:rsidRDefault="00852F4C">
      <w:pPr>
        <w:pStyle w:val="a0"/>
        <w:framePr w:w="8867" w:h="7147" w:hRule="exact" w:wrap="none" w:vAnchor="page" w:hAnchor="page" w:x="1520" w:y="8194"/>
        <w:shd w:val="clear" w:color="auto" w:fill="auto"/>
        <w:spacing w:before="0" w:line="216" w:lineRule="exact"/>
        <w:ind w:left="300" w:right="20" w:firstLine="0"/>
        <w:rPr>
          <w:sz w:val="24"/>
          <w:szCs w:val="24"/>
        </w:rPr>
      </w:pPr>
      <w:r w:rsidRPr="00831E5C">
        <w:rPr>
          <w:sz w:val="24"/>
          <w:szCs w:val="24"/>
        </w:rPr>
        <w:t xml:space="preserve">Dem Mieter wird ein einmaliges Optionsrecht auf weitere 5 </w:t>
      </w:r>
      <w:r w:rsidRPr="00831E5C">
        <w:rPr>
          <w:sz w:val="24"/>
          <w:szCs w:val="24"/>
        </w:rPr>
        <w:t>Jahre zu neu zu vereinbarenden Miet- und Vertragsbedingungen eingeräumt. Die Option ist spätestens 2 Jahre vor Ablauf der Mietzeit, d.h. bis zum 31.12.2017, auszuüben.</w:t>
      </w:r>
    </w:p>
    <w:p w:rsidR="00593000" w:rsidRPr="00831E5C" w:rsidRDefault="00852F4C">
      <w:pPr>
        <w:pStyle w:val="a0"/>
        <w:framePr w:w="8867" w:h="7147" w:hRule="exact" w:wrap="none" w:vAnchor="page" w:hAnchor="page" w:x="1520" w:y="8194"/>
        <w:shd w:val="clear" w:color="auto" w:fill="auto"/>
        <w:spacing w:before="0" w:after="177" w:line="216" w:lineRule="exact"/>
        <w:ind w:left="300" w:right="20" w:firstLine="0"/>
        <w:rPr>
          <w:sz w:val="24"/>
          <w:szCs w:val="24"/>
        </w:rPr>
      </w:pPr>
      <w:r w:rsidRPr="00831E5C">
        <w:rPr>
          <w:sz w:val="24"/>
          <w:szCs w:val="24"/>
        </w:rPr>
        <w:t xml:space="preserve">Nach Ablauf der vereinbarten Festmietzeit wird das Mietverhältnis auf unbestimmte Zeit </w:t>
      </w:r>
      <w:r w:rsidRPr="00831E5C">
        <w:rPr>
          <w:sz w:val="24"/>
          <w:szCs w:val="24"/>
        </w:rPr>
        <w:t>fortgesetzt. Die Kündigungsfrist beträgt für beide Vertragsparteien 6 Monate zum Monatsende und ist dann frühestens wirksam zum 31.12.2019 möglich.</w:t>
      </w:r>
    </w:p>
    <w:p w:rsidR="00593000" w:rsidRPr="00831E5C" w:rsidRDefault="00852F4C">
      <w:pPr>
        <w:pStyle w:val="a0"/>
        <w:framePr w:w="8867" w:h="7147" w:hRule="exact" w:wrap="none" w:vAnchor="page" w:hAnchor="page" w:x="1520" w:y="8194"/>
        <w:shd w:val="clear" w:color="auto" w:fill="auto"/>
        <w:spacing w:before="0" w:after="183" w:line="220" w:lineRule="exact"/>
        <w:ind w:left="20" w:right="20" w:firstLine="0"/>
        <w:rPr>
          <w:sz w:val="24"/>
          <w:szCs w:val="24"/>
        </w:rPr>
      </w:pPr>
      <w:r w:rsidRPr="00831E5C">
        <w:rPr>
          <w:sz w:val="24"/>
          <w:szCs w:val="24"/>
        </w:rPr>
        <w:t>Sonderkündigungsrecht für den Vermieter mit einer Kündigungsfrist von 6 Monaten zum Monatsende. Die Kündigun</w:t>
      </w:r>
      <w:r w:rsidRPr="00831E5C">
        <w:rPr>
          <w:sz w:val="24"/>
          <w:szCs w:val="24"/>
        </w:rPr>
        <w:t>g darf nur ausgesprochen werden, wenn ein rechtsgültiger Mietvertrag über mindestens 70% der Gesamtfläche vorliegt und dem Mieter keine vergleichbare Mietfläche in der Liegenschaft angeboten werden kann.</w:t>
      </w:r>
    </w:p>
    <w:p w:rsidR="00593000" w:rsidRPr="00831E5C" w:rsidRDefault="00852F4C">
      <w:pPr>
        <w:pStyle w:val="a0"/>
        <w:framePr w:w="8867" w:h="7147" w:hRule="exact" w:wrap="none" w:vAnchor="page" w:hAnchor="page" w:x="1520" w:y="8194"/>
        <w:numPr>
          <w:ilvl w:val="0"/>
          <w:numId w:val="2"/>
        </w:numPr>
        <w:shd w:val="clear" w:color="auto" w:fill="auto"/>
        <w:tabs>
          <w:tab w:val="left" w:pos="294"/>
        </w:tabs>
        <w:spacing w:before="0" w:after="183" w:line="216" w:lineRule="exact"/>
        <w:ind w:left="300" w:right="20"/>
        <w:rPr>
          <w:sz w:val="24"/>
          <w:szCs w:val="24"/>
        </w:rPr>
      </w:pPr>
      <w:r w:rsidRPr="00831E5C">
        <w:rPr>
          <w:sz w:val="24"/>
          <w:szCs w:val="24"/>
        </w:rPr>
        <w:t>Die Kündigung hat schriftlich mittels Einschreibebri</w:t>
      </w:r>
      <w:r w:rsidRPr="00831E5C">
        <w:rPr>
          <w:sz w:val="24"/>
          <w:szCs w:val="24"/>
        </w:rPr>
        <w:t>ef zu erfolgen. Für die Rechtzeitigkeit der Kündigung kommt es nicht auf die Absendung, sondern auf den Zugang des Kündigungsschreibens an.</w:t>
      </w:r>
    </w:p>
    <w:p w:rsidR="00593000" w:rsidRPr="00831E5C" w:rsidRDefault="00852F4C">
      <w:pPr>
        <w:pStyle w:val="a0"/>
        <w:framePr w:w="8867" w:h="7147" w:hRule="exact" w:wrap="none" w:vAnchor="page" w:hAnchor="page" w:x="1520" w:y="8194"/>
        <w:numPr>
          <w:ilvl w:val="0"/>
          <w:numId w:val="2"/>
        </w:numPr>
        <w:shd w:val="clear" w:color="auto" w:fill="auto"/>
        <w:tabs>
          <w:tab w:val="left" w:pos="294"/>
        </w:tabs>
        <w:spacing w:before="0" w:after="177" w:line="212" w:lineRule="exact"/>
        <w:ind w:left="300" w:right="20"/>
        <w:rPr>
          <w:sz w:val="24"/>
          <w:szCs w:val="24"/>
        </w:rPr>
      </w:pPr>
      <w:r w:rsidRPr="00831E5C">
        <w:rPr>
          <w:sz w:val="24"/>
          <w:szCs w:val="24"/>
        </w:rPr>
        <w:t>Unberührt bleibt das Recht jeder Partei zur fristlosen Kündigung aus wichtigem Grund. Ein wichtiger Grund liegt auch</w:t>
      </w:r>
      <w:r w:rsidRPr="00831E5C">
        <w:rPr>
          <w:sz w:val="24"/>
          <w:szCs w:val="24"/>
        </w:rPr>
        <w:t xml:space="preserve"> vor:</w:t>
      </w:r>
    </w:p>
    <w:p w:rsidR="00593000" w:rsidRPr="00831E5C" w:rsidRDefault="00852F4C">
      <w:pPr>
        <w:pStyle w:val="a0"/>
        <w:framePr w:w="8867" w:h="7147" w:hRule="exact" w:wrap="none" w:vAnchor="page" w:hAnchor="page" w:x="1520" w:y="8194"/>
        <w:shd w:val="clear" w:color="auto" w:fill="auto"/>
        <w:spacing w:before="0" w:after="0" w:line="216" w:lineRule="exact"/>
        <w:ind w:left="700" w:right="20" w:firstLine="0"/>
        <w:rPr>
          <w:sz w:val="24"/>
          <w:szCs w:val="24"/>
        </w:rPr>
      </w:pPr>
      <w:r w:rsidRPr="00831E5C">
        <w:rPr>
          <w:sz w:val="24"/>
          <w:szCs w:val="24"/>
        </w:rPr>
        <w:t>a) Für beide Parteien, wenn über das Vermögen der jeweils anderen Partei das Vergleichs- oder Konkursverfahren eröffnet oder die Eröffnung des Konkursverfahrens mangels Masse abgelehnt wird.</w:t>
      </w:r>
    </w:p>
    <w:bookmarkEnd w:id="0"/>
    <w:p w:rsidR="00593000" w:rsidRPr="00831E5C" w:rsidRDefault="00593000"/>
    <w:sectPr w:rsidR="00593000" w:rsidRPr="00831E5C">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F4C" w:rsidRDefault="00852F4C">
      <w:r>
        <w:separator/>
      </w:r>
    </w:p>
  </w:endnote>
  <w:endnote w:type="continuationSeparator" w:id="0">
    <w:p w:rsidR="00852F4C" w:rsidRDefault="0085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F4C" w:rsidRDefault="00852F4C"/>
  </w:footnote>
  <w:footnote w:type="continuationSeparator" w:id="0">
    <w:p w:rsidR="00852F4C" w:rsidRDefault="00852F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84210"/>
    <w:multiLevelType w:val="multilevel"/>
    <w:tmpl w:val="33221C4C"/>
    <w:lvl w:ilvl="0">
      <w:start w:val="1"/>
      <w:numFmt w:val="decimal"/>
      <w:lvlText w:val="%1."/>
      <w:lvlJc w:val="left"/>
      <w:rPr>
        <w:rFonts w:ascii="Tahoma" w:eastAsia="Tahoma" w:hAnsi="Tahoma" w:cs="Tahoma"/>
        <w:b w:val="0"/>
        <w:bCs w:val="0"/>
        <w:i w:val="0"/>
        <w:iCs w:val="0"/>
        <w:smallCaps w:val="0"/>
        <w:strike w:val="0"/>
        <w:color w:val="000000"/>
        <w:spacing w:val="-4"/>
        <w:w w:val="100"/>
        <w:position w:val="0"/>
        <w:sz w:val="18"/>
        <w:szCs w:val="18"/>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E7328"/>
    <w:multiLevelType w:val="multilevel"/>
    <w:tmpl w:val="36A23B0E"/>
    <w:lvl w:ilvl="0">
      <w:start w:val="1"/>
      <w:numFmt w:val="decimal"/>
      <w:lvlText w:val="%1."/>
      <w:lvlJc w:val="left"/>
      <w:rPr>
        <w:rFonts w:ascii="Tahoma" w:eastAsia="Tahoma" w:hAnsi="Tahoma" w:cs="Tahoma"/>
        <w:b w:val="0"/>
        <w:bCs w:val="0"/>
        <w:i w:val="0"/>
        <w:iCs w:val="0"/>
        <w:smallCaps w:val="0"/>
        <w:strike w:val="0"/>
        <w:color w:val="000000"/>
        <w:spacing w:val="-4"/>
        <w:w w:val="100"/>
        <w:position w:val="0"/>
        <w:sz w:val="18"/>
        <w:szCs w:val="18"/>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000"/>
    <w:rsid w:val="00593000"/>
    <w:rsid w:val="00831E5C"/>
    <w:rsid w:val="00852F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2">
    <w:name w:val="Основной текст (2)_"/>
    <w:basedOn w:val="DefaultParagraphFont"/>
    <w:link w:val="20"/>
    <w:rPr>
      <w:rFonts w:ascii="Sylfaen" w:eastAsia="Sylfaen" w:hAnsi="Sylfaen" w:cs="Sylfaen"/>
      <w:b w:val="0"/>
      <w:bCs w:val="0"/>
      <w:i w:val="0"/>
      <w:iCs w:val="0"/>
      <w:smallCaps w:val="0"/>
      <w:strike w:val="0"/>
      <w:spacing w:val="3"/>
      <w:sz w:val="20"/>
      <w:szCs w:val="20"/>
      <w:u w:val="none"/>
    </w:rPr>
  </w:style>
  <w:style w:type="character" w:customStyle="1" w:styleId="22pt">
    <w:name w:val="Основной текст (2) + Интервал 2 pt"/>
    <w:basedOn w:val="2"/>
    <w:rPr>
      <w:rFonts w:ascii="Sylfaen" w:eastAsia="Sylfaen" w:hAnsi="Sylfaen" w:cs="Sylfaen"/>
      <w:b w:val="0"/>
      <w:bCs w:val="0"/>
      <w:i w:val="0"/>
      <w:iCs w:val="0"/>
      <w:smallCaps w:val="0"/>
      <w:strike w:val="0"/>
      <w:color w:val="000000"/>
      <w:spacing w:val="47"/>
      <w:w w:val="100"/>
      <w:position w:val="0"/>
      <w:sz w:val="20"/>
      <w:szCs w:val="20"/>
      <w:u w:val="none"/>
      <w:lang w:val="de-DE"/>
    </w:rPr>
  </w:style>
  <w:style w:type="character" w:customStyle="1" w:styleId="3">
    <w:name w:val="Основной текст (3)_"/>
    <w:basedOn w:val="DefaultParagraphFont"/>
    <w:link w:val="30"/>
    <w:rPr>
      <w:rFonts w:ascii="Tahoma" w:eastAsia="Tahoma" w:hAnsi="Tahoma" w:cs="Tahoma"/>
      <w:b/>
      <w:bCs/>
      <w:i w:val="0"/>
      <w:iCs w:val="0"/>
      <w:smallCaps w:val="0"/>
      <w:strike w:val="0"/>
      <w:spacing w:val="-4"/>
      <w:sz w:val="17"/>
      <w:szCs w:val="17"/>
      <w:u w:val="none"/>
    </w:rPr>
  </w:style>
  <w:style w:type="character" w:customStyle="1" w:styleId="a">
    <w:name w:val="Основной текст_"/>
    <w:basedOn w:val="DefaultParagraphFont"/>
    <w:link w:val="a0"/>
    <w:rPr>
      <w:rFonts w:ascii="Tahoma" w:eastAsia="Tahoma" w:hAnsi="Tahoma" w:cs="Tahoma"/>
      <w:b w:val="0"/>
      <w:bCs w:val="0"/>
      <w:i w:val="0"/>
      <w:iCs w:val="0"/>
      <w:smallCaps w:val="0"/>
      <w:strike w:val="0"/>
      <w:spacing w:val="-4"/>
      <w:sz w:val="18"/>
      <w:szCs w:val="18"/>
      <w:u w:val="none"/>
    </w:rPr>
  </w:style>
  <w:style w:type="character" w:customStyle="1" w:styleId="1">
    <w:name w:val="Заголовок №1_"/>
    <w:basedOn w:val="DefaultParagraphFont"/>
    <w:link w:val="10"/>
    <w:rPr>
      <w:rFonts w:ascii="Sylfaen" w:eastAsia="Sylfaen" w:hAnsi="Sylfaen" w:cs="Sylfaen"/>
      <w:b w:val="0"/>
      <w:bCs w:val="0"/>
      <w:i/>
      <w:iCs/>
      <w:smallCaps w:val="0"/>
      <w:strike w:val="0"/>
      <w:spacing w:val="-24"/>
      <w:sz w:val="35"/>
      <w:szCs w:val="35"/>
      <w:u w:val="none"/>
    </w:rPr>
  </w:style>
  <w:style w:type="paragraph" w:customStyle="1" w:styleId="20">
    <w:name w:val="Основной текст (2)"/>
    <w:basedOn w:val="Normal"/>
    <w:link w:val="2"/>
    <w:pPr>
      <w:shd w:val="clear" w:color="auto" w:fill="FFFFFF"/>
      <w:spacing w:line="0" w:lineRule="atLeast"/>
      <w:jc w:val="center"/>
    </w:pPr>
    <w:rPr>
      <w:rFonts w:ascii="Sylfaen" w:eastAsia="Sylfaen" w:hAnsi="Sylfaen" w:cs="Sylfaen"/>
      <w:spacing w:val="3"/>
      <w:sz w:val="20"/>
      <w:szCs w:val="20"/>
    </w:rPr>
  </w:style>
  <w:style w:type="paragraph" w:customStyle="1" w:styleId="30">
    <w:name w:val="Основной текст (3)"/>
    <w:basedOn w:val="Normal"/>
    <w:link w:val="3"/>
    <w:pPr>
      <w:shd w:val="clear" w:color="auto" w:fill="FFFFFF"/>
      <w:spacing w:after="180" w:line="0" w:lineRule="atLeast"/>
    </w:pPr>
    <w:rPr>
      <w:rFonts w:ascii="Tahoma" w:eastAsia="Tahoma" w:hAnsi="Tahoma" w:cs="Tahoma"/>
      <w:b/>
      <w:bCs/>
      <w:spacing w:val="-4"/>
      <w:sz w:val="17"/>
      <w:szCs w:val="17"/>
    </w:rPr>
  </w:style>
  <w:style w:type="paragraph" w:customStyle="1" w:styleId="a0">
    <w:name w:val="Основной текст"/>
    <w:basedOn w:val="Normal"/>
    <w:link w:val="a"/>
    <w:pPr>
      <w:shd w:val="clear" w:color="auto" w:fill="FFFFFF"/>
      <w:spacing w:before="180" w:after="180" w:line="223" w:lineRule="exact"/>
      <w:ind w:hanging="280"/>
      <w:jc w:val="both"/>
    </w:pPr>
    <w:rPr>
      <w:rFonts w:ascii="Tahoma" w:eastAsia="Tahoma" w:hAnsi="Tahoma" w:cs="Tahoma"/>
      <w:spacing w:val="-4"/>
      <w:sz w:val="18"/>
      <w:szCs w:val="18"/>
    </w:rPr>
  </w:style>
  <w:style w:type="paragraph" w:customStyle="1" w:styleId="10">
    <w:name w:val="Заголовок №1"/>
    <w:basedOn w:val="Normal"/>
    <w:link w:val="1"/>
    <w:pPr>
      <w:shd w:val="clear" w:color="auto" w:fill="FFFFFF"/>
      <w:spacing w:line="227" w:lineRule="exact"/>
      <w:jc w:val="center"/>
      <w:outlineLvl w:val="0"/>
    </w:pPr>
    <w:rPr>
      <w:rFonts w:ascii="Sylfaen" w:eastAsia="Sylfaen" w:hAnsi="Sylfaen" w:cs="Sylfaen"/>
      <w:i/>
      <w:iCs/>
      <w:spacing w:val="-24"/>
      <w:sz w:val="35"/>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2">
    <w:name w:val="Основной текст (2)_"/>
    <w:basedOn w:val="DefaultParagraphFont"/>
    <w:link w:val="20"/>
    <w:rPr>
      <w:rFonts w:ascii="Sylfaen" w:eastAsia="Sylfaen" w:hAnsi="Sylfaen" w:cs="Sylfaen"/>
      <w:b w:val="0"/>
      <w:bCs w:val="0"/>
      <w:i w:val="0"/>
      <w:iCs w:val="0"/>
      <w:smallCaps w:val="0"/>
      <w:strike w:val="0"/>
      <w:spacing w:val="3"/>
      <w:sz w:val="20"/>
      <w:szCs w:val="20"/>
      <w:u w:val="none"/>
    </w:rPr>
  </w:style>
  <w:style w:type="character" w:customStyle="1" w:styleId="22pt">
    <w:name w:val="Основной текст (2) + Интервал 2 pt"/>
    <w:basedOn w:val="2"/>
    <w:rPr>
      <w:rFonts w:ascii="Sylfaen" w:eastAsia="Sylfaen" w:hAnsi="Sylfaen" w:cs="Sylfaen"/>
      <w:b w:val="0"/>
      <w:bCs w:val="0"/>
      <w:i w:val="0"/>
      <w:iCs w:val="0"/>
      <w:smallCaps w:val="0"/>
      <w:strike w:val="0"/>
      <w:color w:val="000000"/>
      <w:spacing w:val="47"/>
      <w:w w:val="100"/>
      <w:position w:val="0"/>
      <w:sz w:val="20"/>
      <w:szCs w:val="20"/>
      <w:u w:val="none"/>
      <w:lang w:val="de-DE"/>
    </w:rPr>
  </w:style>
  <w:style w:type="character" w:customStyle="1" w:styleId="3">
    <w:name w:val="Основной текст (3)_"/>
    <w:basedOn w:val="DefaultParagraphFont"/>
    <w:link w:val="30"/>
    <w:rPr>
      <w:rFonts w:ascii="Tahoma" w:eastAsia="Tahoma" w:hAnsi="Tahoma" w:cs="Tahoma"/>
      <w:b/>
      <w:bCs/>
      <w:i w:val="0"/>
      <w:iCs w:val="0"/>
      <w:smallCaps w:val="0"/>
      <w:strike w:val="0"/>
      <w:spacing w:val="-4"/>
      <w:sz w:val="17"/>
      <w:szCs w:val="17"/>
      <w:u w:val="none"/>
    </w:rPr>
  </w:style>
  <w:style w:type="character" w:customStyle="1" w:styleId="a">
    <w:name w:val="Основной текст_"/>
    <w:basedOn w:val="DefaultParagraphFont"/>
    <w:link w:val="a0"/>
    <w:rPr>
      <w:rFonts w:ascii="Tahoma" w:eastAsia="Tahoma" w:hAnsi="Tahoma" w:cs="Tahoma"/>
      <w:b w:val="0"/>
      <w:bCs w:val="0"/>
      <w:i w:val="0"/>
      <w:iCs w:val="0"/>
      <w:smallCaps w:val="0"/>
      <w:strike w:val="0"/>
      <w:spacing w:val="-4"/>
      <w:sz w:val="18"/>
      <w:szCs w:val="18"/>
      <w:u w:val="none"/>
    </w:rPr>
  </w:style>
  <w:style w:type="character" w:customStyle="1" w:styleId="1">
    <w:name w:val="Заголовок №1_"/>
    <w:basedOn w:val="DefaultParagraphFont"/>
    <w:link w:val="10"/>
    <w:rPr>
      <w:rFonts w:ascii="Sylfaen" w:eastAsia="Sylfaen" w:hAnsi="Sylfaen" w:cs="Sylfaen"/>
      <w:b w:val="0"/>
      <w:bCs w:val="0"/>
      <w:i/>
      <w:iCs/>
      <w:smallCaps w:val="0"/>
      <w:strike w:val="0"/>
      <w:spacing w:val="-24"/>
      <w:sz w:val="35"/>
      <w:szCs w:val="35"/>
      <w:u w:val="none"/>
    </w:rPr>
  </w:style>
  <w:style w:type="paragraph" w:customStyle="1" w:styleId="20">
    <w:name w:val="Основной текст (2)"/>
    <w:basedOn w:val="Normal"/>
    <w:link w:val="2"/>
    <w:pPr>
      <w:shd w:val="clear" w:color="auto" w:fill="FFFFFF"/>
      <w:spacing w:line="0" w:lineRule="atLeast"/>
      <w:jc w:val="center"/>
    </w:pPr>
    <w:rPr>
      <w:rFonts w:ascii="Sylfaen" w:eastAsia="Sylfaen" w:hAnsi="Sylfaen" w:cs="Sylfaen"/>
      <w:spacing w:val="3"/>
      <w:sz w:val="20"/>
      <w:szCs w:val="20"/>
    </w:rPr>
  </w:style>
  <w:style w:type="paragraph" w:customStyle="1" w:styleId="30">
    <w:name w:val="Основной текст (3)"/>
    <w:basedOn w:val="Normal"/>
    <w:link w:val="3"/>
    <w:pPr>
      <w:shd w:val="clear" w:color="auto" w:fill="FFFFFF"/>
      <w:spacing w:after="180" w:line="0" w:lineRule="atLeast"/>
    </w:pPr>
    <w:rPr>
      <w:rFonts w:ascii="Tahoma" w:eastAsia="Tahoma" w:hAnsi="Tahoma" w:cs="Tahoma"/>
      <w:b/>
      <w:bCs/>
      <w:spacing w:val="-4"/>
      <w:sz w:val="17"/>
      <w:szCs w:val="17"/>
    </w:rPr>
  </w:style>
  <w:style w:type="paragraph" w:customStyle="1" w:styleId="a0">
    <w:name w:val="Основной текст"/>
    <w:basedOn w:val="Normal"/>
    <w:link w:val="a"/>
    <w:pPr>
      <w:shd w:val="clear" w:color="auto" w:fill="FFFFFF"/>
      <w:spacing w:before="180" w:after="180" w:line="223" w:lineRule="exact"/>
      <w:ind w:hanging="280"/>
      <w:jc w:val="both"/>
    </w:pPr>
    <w:rPr>
      <w:rFonts w:ascii="Tahoma" w:eastAsia="Tahoma" w:hAnsi="Tahoma" w:cs="Tahoma"/>
      <w:spacing w:val="-4"/>
      <w:sz w:val="18"/>
      <w:szCs w:val="18"/>
    </w:rPr>
  </w:style>
  <w:style w:type="paragraph" w:customStyle="1" w:styleId="10">
    <w:name w:val="Заголовок №1"/>
    <w:basedOn w:val="Normal"/>
    <w:link w:val="1"/>
    <w:pPr>
      <w:shd w:val="clear" w:color="auto" w:fill="FFFFFF"/>
      <w:spacing w:line="227" w:lineRule="exact"/>
      <w:jc w:val="center"/>
      <w:outlineLvl w:val="0"/>
    </w:pPr>
    <w:rPr>
      <w:rFonts w:ascii="Sylfaen" w:eastAsia="Sylfaen" w:hAnsi="Sylfaen" w:cs="Sylfaen"/>
      <w:i/>
      <w:iCs/>
      <w:spacing w:val="-24"/>
      <w:sz w:val="35"/>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2016-08-07T21:54:00Z</dcterms:created>
  <dcterms:modified xsi:type="dcterms:W3CDTF">2016-08-07T21:55:00Z</dcterms:modified>
</cp:coreProperties>
</file>